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/>
      </w:r>
      <w:r>
        <w:rPr>
          <w:b/>
          <w:bCs/>
          <w:sz w:val="22"/>
          <w:szCs w:val="22"/>
        </w:rPr>
        <w:t xml:space="preserve"> ДОГОВОР</w:t>
      </w:r>
      <w:r>
        <w:rPr/>
        <w:br/>
      </w:r>
      <w:r>
        <w:rPr>
          <w:b/>
          <w:bCs/>
          <w:sz w:val="22"/>
          <w:szCs w:val="22"/>
        </w:rPr>
        <w:t>о предоставлении благотворительной помощи</w:t>
      </w:r>
    </w:p>
    <w:p>
      <w:pPr>
        <w:pStyle w:val="Normal"/>
        <w:spacing w:before="120" w:after="120"/>
        <w:jc w:val="center"/>
        <w:rPr>
          <w:b/>
          <w:sz w:val="22"/>
          <w:szCs w:val="22"/>
        </w:rPr>
      </w:pPr>
      <w:r>
        <w:rPr>
          <w:sz w:val="22"/>
          <w:szCs w:val="22"/>
        </w:rPr>
        <w:t>г. Москва</w:t>
        <w:tab/>
        <w:t xml:space="preserve">                                                                                                           29 июля 2024 г.</w:t>
      </w:r>
    </w:p>
    <w:p>
      <w:pPr>
        <w:pStyle w:val="Normal"/>
        <w:spacing w:lineRule="auto" w:line="276" w:before="60" w:after="60"/>
        <w:jc w:val="both"/>
        <w:rPr>
          <w:b/>
          <w:sz w:val="22"/>
          <w:szCs w:val="22"/>
        </w:rPr>
      </w:pPr>
      <w:bookmarkStart w:id="0" w:name="_Hlk120190395"/>
      <w:r>
        <w:rPr>
          <w:b/>
          <w:sz w:val="22"/>
          <w:szCs w:val="22"/>
        </w:rPr>
        <w:t>Благотворительный Фонд Константина Хабенского,</w:t>
      </w:r>
      <w:r>
        <w:rPr>
          <w:sz w:val="22"/>
          <w:szCs w:val="22"/>
        </w:rPr>
        <w:t xml:space="preserve"> именуемый в дальнейшем «</w:t>
      </w:r>
      <w:r>
        <w:rPr>
          <w:b/>
          <w:i/>
          <w:iCs/>
          <w:sz w:val="22"/>
          <w:szCs w:val="22"/>
        </w:rPr>
        <w:t>Фонд</w:t>
      </w:r>
      <w:r>
        <w:rPr>
          <w:sz w:val="22"/>
          <w:szCs w:val="22"/>
        </w:rPr>
        <w:t xml:space="preserve">», в лице </w:t>
      </w:r>
      <w:r>
        <w:rPr>
          <w:b/>
          <w:sz w:val="22"/>
          <w:szCs w:val="22"/>
        </w:rPr>
        <w:t xml:space="preserve"> Богомоловой Елизаветы Михайловны, </w:t>
      </w:r>
      <w:r>
        <w:rPr>
          <w:b w:val="false"/>
          <w:bCs w:val="false"/>
          <w:sz w:val="22"/>
          <w:szCs w:val="22"/>
        </w:rPr>
        <w:t>действующего на основании  доверенности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, с одной стороны, и</w:t>
      </w:r>
    </w:p>
    <w:p>
      <w:pPr>
        <w:pStyle w:val="Normal"/>
        <w:spacing w:lineRule="auto" w:line="276" w:before="60"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гр. Иван1 Анатол Михайло</w:t>
      </w:r>
      <w:r>
        <w:rPr>
          <w:bCs/>
          <w:sz w:val="22"/>
          <w:szCs w:val="22"/>
        </w:rPr>
        <w:t>, именуемый(ая) в дальнейшем «</w:t>
      </w:r>
      <w:r>
        <w:rPr>
          <w:b/>
          <w:i/>
          <w:iCs/>
          <w:sz w:val="22"/>
          <w:szCs w:val="22"/>
        </w:rPr>
        <w:t>Благополучатель</w:t>
      </w:r>
      <w:r>
        <w:rPr>
          <w:bCs/>
          <w:sz w:val="22"/>
          <w:szCs w:val="22"/>
        </w:rPr>
        <w:t>», с другой стороны, заключили настоящий договор (далее – «Договор») о нижеследующем:</w:t>
      </w:r>
      <w:bookmarkEnd w:id="0"/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Фонд обязуется на условиях настоящего Договора безвозмездно оказать благотворительную помощь Благополучателю (далее — «</w:t>
      </w:r>
      <w:r>
        <w:rPr>
          <w:b/>
          <w:bCs/>
          <w:i/>
          <w:iCs/>
          <w:sz w:val="22"/>
          <w:szCs w:val="22"/>
        </w:rPr>
        <w:t>Благотворительная помощь</w:t>
      </w:r>
      <w:r>
        <w:rPr>
          <w:sz w:val="22"/>
          <w:szCs w:val="22"/>
        </w:rPr>
        <w:t>»), а Благополучатель обязуется использовать Благотворительную помощь по назначению в соответствии с условиями Договора.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Благотворительная помощь оказывается Фондом в соответствии с реализуемой Фондом Благотворительной программой [</w:t>
      </w:r>
      <w:r>
        <w:rPr>
          <w:sz w:val="22"/>
          <w:szCs w:val="22"/>
          <w:highlight w:val="yellow"/>
        </w:rPr>
        <w:t>«Образование и развитие»</w:t>
      </w:r>
      <w:r>
        <w:rPr>
          <w:sz w:val="22"/>
          <w:szCs w:val="22"/>
        </w:rPr>
        <w:t>], далее по тексту именуемой «</w:t>
      </w:r>
      <w:r>
        <w:rPr>
          <w:b/>
          <w:bCs/>
          <w:i/>
          <w:iCs/>
          <w:sz w:val="22"/>
          <w:szCs w:val="22"/>
        </w:rPr>
        <w:t>Программа</w:t>
      </w:r>
      <w:r>
        <w:rPr>
          <w:sz w:val="22"/>
          <w:szCs w:val="22"/>
        </w:rPr>
        <w:t>».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Благотворительная помощь, оказываемая Фондом в рамках настоящего Договора, признается пожертвованием по смыслу статьи 582 Гражданского кодекса Российской Федерации и осуществляется в рамках благотворительной деятельности по смыслу Федерального закона от 11.08.1995 № 135-ФЗ «О благотворительной деятельности и добровольчестве (волонтерстве)».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Благотворительная помощь может оказываться Фондом в форме оплаты и/или возмещения расходов на участие Благополучателя в образовательных, просветительских мероприятиях, мероприятиях по обмену опытом (далее — «</w:t>
      </w:r>
      <w:r>
        <w:rPr>
          <w:b/>
          <w:bCs/>
          <w:i/>
          <w:iCs/>
          <w:sz w:val="22"/>
          <w:szCs w:val="22"/>
        </w:rPr>
        <w:t>Мероприятия</w:t>
      </w:r>
      <w:r>
        <w:rPr>
          <w:sz w:val="22"/>
          <w:szCs w:val="22"/>
        </w:rPr>
        <w:t>»), а также в натуральной форме. Конкретные формы (направления) оказания Благотворительной помощи, порядок, размеры и сроки ее предоставления Фондом определяются Сторонами в Приложениях к Договору.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Обязанность Фонда по оказанию Благотворительной помощи Благополучателю в части, предусмотренной подписанным Сторонами Приложением к Договору, является исполненной с момента списания денежных средств с банковского счета Фонда при оказании Фондом Благотворительной помощи в форме оплаты и/или возмещения расходов на участие Благополучателя в Мероприятиях или с момента получения Благополучателем товаров (услуг) при оказании Фондом Благотворительной помощи в натуральной форме.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Благополучатель вправе отказаться от ранее согласованного объема оказания Фондом Благотворительной помощи путем направления заявления в письменной форме. С момента получения Фондом указанного письменного заявления Благополучателя Договор является расторгнутым. В случае, если Благополучатель направляет заявление об отказе от Договора после начала оказания Благотворительной помощи, Договор расторгается на будущее время только в части не оказанной Благотворительной помощи.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Во избежание сомнений в случае прекращения настоящего Договора и/или отдельных приложений (в том числе в результате отказа от Договора со стороны Благополучателя или Фонда) пожертвования и иные целевые поступления, собранные Фондом для оказания Благотворительной помощи Благополучателю, направляются на оказание помощи иным лицам и/или на иные цели в соответствии с условиями сбора соответствующих поступлений и пожертвований, в соответствии с уставными целями деятельности Фонда.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Благополучатель обязуется оказывать содействие Фонду в процессе оказания Благотворительной помощи и в связи с ней, в частности, но не ограничиваясь, предоставить документы и информацию, необходимые для оказания Благотворительной помощи Благополучателю, обеспечения прозрачности деятельности Фонда и оформления Фондом отчетности для жертвователей (благотворителей) и государственных органов, а также предоставить Фонду информацию о прошедших Мероприятиях, в которых Благополучатель принял участие по настоящему Договору.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Благополучателю разъяснено, что в целях обеспечения оказания Фондом Благотворительной помощи Благополучателю, обеспечения прозрачности деятельности Фонда и оформления Фондом отчетности для жертвователей (благотворителей) и государственных органов, необходимо предоставить согласия в письменной форме на обработку персональных данных, разрешенных для распространения, на использование изображения гражданина, на передачу персональных данных, на поручение обработки персональных данных другому лицу в соответствии с законодательством Российской Федерации.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Благополучателю (законному представителю) разъяснено, что последствием отказа дать письменное согласие на обработку персональных данных или его отзыв является невозможность исполнения Фондом обязательств по Договору.</w:t>
      </w:r>
    </w:p>
    <w:p>
      <w:pPr>
        <w:pStyle w:val="Normal"/>
        <w:numPr>
          <w:ilvl w:val="0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Фонд вправе расторгнуть Договор (и/или отдельные Приложения) полностью или частично в одностороннем порядке путем направления соответствующего уведомления Благополучателю в письменной форме (при этом Договор считается расторгнутым с даты получения указанного уведомления Благополучателем) и прекратить оказывать Благотворительную помощь Благополучателю (отказаться от исполнения настоящего Договора) полностью или частично в следующих случаях:</w:t>
      </w:r>
    </w:p>
    <w:p>
      <w:pPr>
        <w:pStyle w:val="Normal"/>
        <w:numPr>
          <w:ilvl w:val="1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непредоставления документов и информации согласно п.8 настоящего Договора;</w:t>
      </w:r>
    </w:p>
    <w:p>
      <w:pPr>
        <w:pStyle w:val="Normal"/>
        <w:numPr>
          <w:ilvl w:val="1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нецелевого использования Благополучателем Благотворительной помощи; или</w:t>
      </w:r>
    </w:p>
    <w:p>
      <w:pPr>
        <w:pStyle w:val="Normal"/>
        <w:numPr>
          <w:ilvl w:val="1"/>
          <w:numId w:val="2"/>
        </w:numPr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в случае возникновения иных обстоятельств, препятствующих оказанию Благополучателю благотворительной помощи в определенной форме (направлении).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Фонд обеспечивает контроль целевого использования денежных средств, направленных в качестве Благотворительной помощи на основании Договора.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Договор в любое время может быть расторгнут по соглашению Сторон.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За неисполнение и (или)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споров и (или) разногласий между Сторонами в связи с исполнением Договора, Стороны будут стараться принять все возможные меры для урегулирования таких споров и (или) разногласий в ходе переговоров. При невозможности урегулирования спора и (или) разногласий в ходе переговоров, все споры и (или) разногласия, возникающие между Сторонами, в ходе исполнения Договора, подлежат разрешению в суде по месту нахождения Фонда в соответствии с требованиями действующего законодательства Российской Федерации.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Любые изменения, дополнения и приложения к Договору являются его составными и неотъемлемыми частями и являются действительными при условии их составления в письменной или электронной форме, наличия ссылки на Договор и подписания Сторонами собственноручно либо с использованием электронной подписи.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В случае изменения реквизитов (в том числе, но не ограничиваясь, адреса, паспортных данных) Благополучатель обязан в течение 10 (десяти) календарных дней письменно известить об этом Фонд (в том числе – посредством электронной почты), а также предоставить Фонду копии соответствующих документов (например, нового паспорта). В случае оформления / переоформления доверенности на своего представителя Благополучатель обязан предоставить Фонду копию соответствующей доверенности в течение 10 (десяти) календарных дней.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76" w:before="60" w:after="6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Права и обязанности Благополучателя переходят к его наследникам постольку, поскольку это необходимо для фиксации Сторонами фактического размера Благотворительной помощи и/или формирования отчетности Фонда.</w:t>
      </w:r>
      <w:bookmarkStart w:id="1" w:name="_Hlk150337269"/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76" w:before="60" w:after="60"/>
        <w:ind w:hanging="0" w:start="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Договор </w:t>
      </w:r>
      <w:bookmarkEnd w:id="1"/>
      <w:r>
        <w:rPr>
          <w:sz w:val="22"/>
          <w:szCs w:val="22"/>
        </w:rPr>
        <w:t>составлен в 2 (двух) экземплярах, имеющих равную юридическую силу, по одному экземпляру для каждой Стороны. Договор может заключаться в электронном виде посредством программного обеспечения путем его подписания простыми электронными подписями лиц, уполномоченных действовать от имени Сторон.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Адреса, реквизиты и подписи Сторон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01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69"/>
        <w:gridCol w:w="5069"/>
      </w:tblGrid>
      <w:tr>
        <w:trPr/>
        <w:tc>
          <w:tcPr>
            <w:tcW w:w="5069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Благотворительный Фонд Константина Хабенского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r>
              <w:rPr>
                <w:color w:val="000000"/>
                <w:sz w:val="22"/>
                <w:szCs w:val="22"/>
              </w:rPr>
              <w:t>Российская Федерация, 107023, г. Москва, ул. Электрозаводская, д. 27, стр. 7, эт.2, пом. II, ком. 2, 3, 7, 11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7708236775, КПП 771801001 ,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1087799008967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40703810900001412504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АО «РайффайзенБанк», г. Москва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30101810200000000700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044525700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 /Е.М. Богомолова/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069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Иван1 Анатол Михайло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РФ: серия 1222 № 222222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Выдан: 12as 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выдачи: 25.07.2024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регистрации: 350007, Краснодарский край, г Краснодар, ул Красная, д 1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_______________/А. М. Иван1/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en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sectPr>
      <w:footerReference w:type="default" r:id="rId2"/>
      <w:type w:val="nextPage"/>
      <w:pgSz w:w="11906" w:h="16838"/>
      <w:pgMar w:left="1418" w:right="566" w:gutter="0" w:header="0" w:top="719" w:footer="708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  <w:p>
    <w:pPr>
      <w:pStyle w:val="Footer"/>
      <w:rPr>
        <w:sz w:val="20"/>
        <w:szCs w:val="20"/>
      </w:rPr>
    </w:pPr>
    <w:r>
      <w:rPr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804" w:hanging="444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8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08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44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44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8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80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16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1">
    <w:name w:val="WW8Num27z1"/>
    <w:qFormat/>
    <w:rPr/>
  </w:style>
  <w:style w:type="character" w:styleId="WW8Num28z0">
    <w:name w:val="WW8Num28z0"/>
    <w:qFormat/>
    <w:rPr/>
  </w:style>
  <w:style w:type="character" w:styleId="Style14">
    <w:name w:val="Основной шрифт абзаца"/>
    <w:qFormat/>
    <w:rPr/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basedOn w:val="Style14"/>
    <w:qFormat/>
    <w:rPr/>
  </w:style>
  <w:style w:type="character" w:styleId="Style18">
    <w:name w:val="Тема примечания Знак"/>
    <w:qFormat/>
    <w:rPr>
      <w:b/>
      <w:bCs/>
    </w:rPr>
  </w:style>
  <w:style w:type="character" w:styleId="Style19">
    <w:name w:val="Текст сноски Знак"/>
    <w:basedOn w:val="Style14"/>
    <w:qFormat/>
    <w:rPr/>
  </w:style>
  <w:style w:type="character" w:styleId="Style20">
    <w:name w:val="Символ сноски"/>
    <w:qFormat/>
    <w:rPr>
      <w:vertAlign w:val="superscript"/>
    </w:rPr>
  </w:style>
  <w:style w:type="character" w:styleId="Style21">
    <w:name w:val="Основной текст Знак"/>
    <w:qFormat/>
    <w:rPr>
      <w:sz w:val="24"/>
      <w:szCs w:val="24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hanging="0" w:start="360" w:end="0"/>
      <w:jc w:val="both"/>
    </w:pPr>
    <w:rPr>
      <w:i/>
      <w:iCs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Текст примечания"/>
    <w:basedOn w:val="Normal"/>
    <w:qFormat/>
    <w:pPr/>
    <w:rPr>
      <w:sz w:val="20"/>
      <w:szCs w:val="20"/>
    </w:rPr>
  </w:style>
  <w:style w:type="paragraph" w:styleId="Style27">
    <w:name w:val="Тема примечания"/>
    <w:basedOn w:val="Style26"/>
    <w:next w:val="Style26"/>
    <w:qFormat/>
    <w:pPr/>
    <w:rPr>
      <w:b/>
      <w:bCs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28">
    <w:name w:val="Рецензия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Style29">
    <w:name w:val="Абзац списка"/>
    <w:basedOn w:val="Normal"/>
    <w:qFormat/>
    <w:pPr>
      <w:spacing w:before="0" w:after="0"/>
      <w:ind w:hanging="0" w:start="720" w:end="0"/>
      <w:contextualSpacing/>
    </w:pPr>
    <w:rPr>
      <w:sz w:val="20"/>
      <w:szCs w:val="20"/>
    </w:rPr>
  </w:style>
  <w:style w:type="paragraph" w:styleId="Title1">
    <w:name w:val="Title1"/>
    <w:qFormat/>
    <w:pPr>
      <w:widowControl/>
      <w:suppressAutoHyphens w:val="true"/>
      <w:bidi w:val="0"/>
      <w:spacing w:before="0" w:after="120"/>
      <w:jc w:val="center"/>
    </w:pPr>
    <w:rPr>
      <w:rFonts w:ascii="Times New Roman" w:hAnsi="Times New Roman" w:eastAsia="Cambria" w:cs="Times New Roman"/>
      <w:b/>
      <w:color w:val="auto"/>
      <w:sz w:val="22"/>
      <w:szCs w:val="22"/>
      <w:lang w:val="ru-RU" w:eastAsia="zh-CN" w:bidi="ar-SA"/>
    </w:rPr>
  </w:style>
  <w:style w:type="paragraph" w:styleId="Bodytextpreamble">
    <w:name w:val="body text preamble"/>
    <w:basedOn w:val="Normal"/>
    <w:qFormat/>
    <w:pPr/>
    <w:rPr>
      <w:rFonts w:eastAsia="Cambria" w:cs="Times New Roman"/>
      <w:sz w:val="22"/>
      <w:szCs w:val="22"/>
    </w:rPr>
  </w:style>
  <w:style w:type="paragraph" w:styleId="BodyText1">
    <w:name w:val="Body Text1"/>
    <w:basedOn w:val="Normal"/>
    <w:qFormat/>
    <w:pPr>
      <w:spacing w:before="0" w:after="120"/>
      <w:jc w:val="both"/>
    </w:pPr>
    <w:rPr>
      <w:rFonts w:eastAsia="Cambria" w:cs="Times New Roman"/>
      <w:sz w:val="22"/>
      <w:szCs w:val="22"/>
    </w:rPr>
  </w:style>
  <w:style w:type="paragraph" w:styleId="Bodytextsuperscript">
    <w:name w:val="body text superscript"/>
    <w:basedOn w:val="Bodytextpreamble"/>
    <w:qFormat/>
    <w:pPr>
      <w:jc w:val="center"/>
    </w:pPr>
    <w:rPr>
      <w:rFonts w:eastAsia="Cambria" w:cs="Times New Roman"/>
      <w:i/>
      <w:sz w:val="16"/>
    </w:rPr>
  </w:style>
  <w:style w:type="paragraph" w:styleId="Bodytextnum">
    <w:name w:val="body text num"/>
    <w:basedOn w:val="BodyText1"/>
    <w:qFormat/>
    <w:pPr>
      <w:numPr>
        <w:ilvl w:val="0"/>
        <w:numId w:val="1"/>
      </w:numPr>
    </w:pPr>
    <w:rPr>
      <w:rFonts w:eastAsia="Cambria" w:cs="Times New Roman"/>
    </w:rPr>
  </w:style>
  <w:style w:type="paragraph" w:styleId="Bodytextdatafill">
    <w:name w:val="Body text data fill"/>
    <w:basedOn w:val="Bodytextpreamble"/>
    <w:qFormat/>
    <w:pPr>
      <w:jc w:val="center"/>
    </w:pPr>
    <w:rPr>
      <w:rFonts w:eastAsia="Cambria" w:cs="Times New Roman"/>
      <w:i/>
      <w:lang w:val="en-US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234</TotalTime>
  <Application>LibreOffice/24.2.3.2$Windows_X86_64 LibreOffice_project/433d9c2ded56988e8a90e6b2e771ee4e6a5ab2ba</Application>
  <AppVersion>15.0000</AppVersion>
  <Pages>3</Pages>
  <Words>950</Words>
  <Characters>7872</Characters>
  <CharactersWithSpaces>8870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2022-09-26T15:31:00Z</dcterms:created>
  <dc:creator>*</dc:creator>
  <dc:description/>
  <dc:language>ru-RU</dc:language>
  <cp:lastModifiedBy/>
  <cp:lastPrinted>2010-11-24T12:51:00Z</cp:lastPrinted>
  <dcterms:modified xsi:type="dcterms:W3CDTF">2024-07-03T16:18:20Z</dcterms:modified>
  <cp:revision>21</cp:revision>
  <dc:subject/>
  <dc:title>ДОГОВОР</dc:title>
</cp:coreProperties>
</file>